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81"/>
        <w:gridCol w:w="1704"/>
        <w:gridCol w:w="1242"/>
        <w:gridCol w:w="6512"/>
        <w:gridCol w:w="1276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（一）标准化管理全面性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 上年度企业投入标准化活动费用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①大型企业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标准化活动经费总额占研发经费总额的比例 20％（含）以上，或标准化活动经费达到 200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B. 标准化活动经费总额占研发经费总额的比例 15％（含）— 20％，或标准化活动经费达到 100 万元（含）以上。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标准化活动经费总额占研发经费总额的比例 5％（含）—15％，或标准化活动经费达到 20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②中小微企业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标准化活动经费总额占研发经费总额的比例 20％（含）以上，或标准化活动经费达到 100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标准化活动经费总额占研发经费总额的比例 15％（含）— 20％，或标准化活动经费达到 50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标准化活动经费总额占研发经费总额的比例 5％（含）—15％，或标准化活动经费达到 10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标准化相关人员数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①大型企业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建立标准化总监制度，且专、兼职标准化相关人员达到 20名（含）以上。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专、兼职标准化人员达到 15 名（含）—20 名。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专、兼职标准化人员达到 5 名（含）—15 名。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（一）标准化管理全面性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标准化相关人员数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②中小微企业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专、兼职标准化人员数量占企业技术及管理人员总数的比例 10％（含）以上。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专、兼职标准化人员数量占企业技术及管理人员总数的比例 8％（含）—10％。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专、兼职标准化人员数量占企业技术及管理人员总数的比例 4％（含）— 8％。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参与标准化技术委员会人员数量（满分 4 分）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企业人员承担全国标准化技术委员会（含分技术委员会）主任委员或副主任委员职务。（4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企业人员担任全国标准化技术委员会（含分技术委员会）委员职务。（每人次 2 分，累计不超过 4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企业人员担任地方标准化技术委员会（含分技术委员会）委员职务。（每人次 1 分，累计不超过 4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不符合上述情况。（0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（二）标准技术领先性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（指标 3 选 2，满分 15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企业创新技术标准转化情况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企业拥有的国家级科技成果、技术发明、管理创新成果、服务创新成果等，已转化为具有国内领先水平的标准或进入企业标准“领跑者”名单的标准。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企业拥有的省部级科技成果、技术发明、管理创新成果、服务创新成果等，已转化为具有国内领先水平的标准或进入企业标准“领跑者”名单的标准。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企业拥有的其他经认定的科技成果、技术发明、管理创新成果、服务创新成果等，已转化为先进标准。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不符合上述情况。（0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（二）标准技术领先性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（指标 3 选 2，满分 15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企业 3 年内制定的现行有效标准类别和数量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A. 每 牵 头（前 三 位 起 草 单 位）制 定 1 项 相 关 国 际 标 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B. 每 牵 头（前 三 位 起 草 单 位）制 定 1 项 相 关 国 家 标 准 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C. 每 牵 头（前 三 位 起 草 单 位）制 定 1 项 相 关 行 业 标 准 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D. 每 牵 头（前 三 位 起 草 单 位）制 定 1 项 相 关 地 方 标 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E. 每牵头（前三位起草单位）制定 1 项先进或达到领跑水平的团体标准得。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F. 不符合上述情况不得分。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进入企业标准“领跑者”名单的企业标准数量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A. 5 项及以上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B. 4 项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C. 3 项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D. 2 项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E. 1 项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F. 不符合上述情况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（三）标准应用先进性（10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企业的污染物排放情况优于强制性标准，且企业的产品或服务执行优于国际、国外先进标准的标准。（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企业的污染物排放情况优于强制性标准，且企业开展“对标达标”，并且产品或服务达到国际、国外先进标准。（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4—6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企业的污染物排放情况优于强制性标准，且企业的产品或服务执行优于推荐性标准或填补空白的团体标准、企业标准。（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不符合上述情况。（0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（四）标准整体效益性（20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企业通过标准化手段提升主导产品或者服务的市场份额/销售额/出口销售额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①大型企业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大型企业主导产品或者服务的市场份额达 10％及以上，或者年销售额 2 亿元以上，或者年出口销售额 200 万美元以上。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大型企业主导产品或者服务的市场份额达 5％及以上，或者年销售额 1 亿元以上，或者年出口销售额 100 万美元以上。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②中小微企业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中小微企业主导产品或者服务的市场份额达 5％及以上，或者年销售额 1000 万元以上，或者年出口销售额 100 万美元以上。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中小微企业主导产品或者服务的市场份额达 2％及以上，或者年销售额 500 万元以上。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综合标准化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标准集成实施方案应用于企业管理创新与生产实践，并得到行业内认可，其中部分标准在产业链上下游及相关方得到有效应用，产生良好的经济效益、社会效益、质量效益、生态效益。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企业标准体系完善，形成包括设计研发、生产经营、产业链保障、生态环境、节能低碳等内容在内的标准化集成实施方案，并在企业内组织实施，产生良好的经济效益、社会效益、质量效益、生态效益。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不符合上述情况。（0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（五）标准国际突破性（20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技术创新引领的国际标准化工作开展情况。（满分 20 分，以下项目可以累计加分） 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企业承担国际标准化技术委员会（含分技术委员会）秘书处工作或企业人员担任主席、副主席等重要职务。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企业人员近 3 年内提出国际标准提案并立项，或者担任工作组召集人。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每一项计 10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企业人员近 3 年内成为国际标准化注册专家，并参与国际标准化技术委员会活动。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每一人计 5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企业人员近 3 年内提出国际标准提案。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每一项计 5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E. 企业近 3 年内在对外贸易或海外工程中采用中国标准提供产品、工程或者服务。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每一项计 5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F. 企业近 3 年内组织或者承办国际标准化会议/活动。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每一项计 5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（六）标准融合创新性（15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创新工作基础（满分 10 分）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获得包括但不限于“科技型中小企业”、“高新技术企业”或专精特新“小巨人”、单项冠军、国家技术标准创新基地、国家标准验证点、国家企业技术中心、国家级高新技术企业、国家知识产权优势企业和示范企业、农业产业化龙头企业、国家级重点实验室、国家级工程研究中心等国家级科技创新平台相关称号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获得省级“科技型中小企业”、“高新技术企业”、专精特新企业、技术标准创新基地、企业技术中心、知识产权示范企业、农业产业化龙头企业、重点实验室、工程研究中心等科技创新平台相关称号。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C. 不符合上述情况。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（六）标准融合创新性（15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标准与研发同步推进（满分 5 分）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A. 企业已建立标准与研发同步推进制度，并已经形成相应的标准成果、实现产业化应用。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B. 企业已与高校、科研机构或者标准化专业技术机构建立合作机制，推动标准与研发同步进行。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（七）特色化指标（10 分）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参与标准化技术委员会情况（4分）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承担1家全国标准化技术委员会（含分技术委员会）秘书处工作得4分；承担1家广东省标准化技术委员会（含分技术委员会）秘书处工作得3分；担任广东省标准化技术委员会（含分技术委员会）主任委员、副主任委员等重要职务每人每次得2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2.参与标准化试点示范建设情况（3分）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企业近三年承担并通过验收国家或省级试点示范建设项目1项得3分。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3.参与“湾区标准”建设情况（3分）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企业主导或参与（前三位起草单位）制定湾区标准1项得3分，或近3年组织或承办粤港澳大湾区标准化活动或会议1场得3分。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633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DF727BF"/>
    <w:rsid w:val="2E4F4476"/>
    <w:rsid w:val="47F9EBBE"/>
    <w:rsid w:val="48826A2A"/>
    <w:rsid w:val="5BFCA816"/>
    <w:rsid w:val="777E729F"/>
    <w:rsid w:val="BEBAAC49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2020-05-13T09:52:00Z</dcterms:created>
  <dc:creator>uos</dc:creator>
  <cp:lastModifiedBy>郑水甚川</cp:lastModifiedBy>
  <dcterms:modified xsi:type="dcterms:W3CDTF">2024-02-20T09:27:29Z</dcterms:modified>
  <dc:title>广东省标准创新型企业（中级）认定指标体系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C0D50A0220E54B01A6D99EC61ABF6D64_13</vt:lpwstr>
  </property>
</Properties>
</file>